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Spec="right" w:tblpY="-1163"/>
        <w:tblW w:w="10201" w:type="dxa"/>
        <w:tblLook w:val="04A0" w:firstRow="1" w:lastRow="0" w:firstColumn="1" w:lastColumn="0" w:noHBand="0" w:noVBand="1"/>
      </w:tblPr>
      <w:tblGrid>
        <w:gridCol w:w="2269"/>
        <w:gridCol w:w="7932"/>
      </w:tblGrid>
      <w:tr w:rsidR="00BB198D" w:rsidRPr="00B170EC" w14:paraId="34EA768C" w14:textId="77777777" w:rsidTr="00BB198D">
        <w:trPr>
          <w:trHeight w:val="1975"/>
        </w:trPr>
        <w:tc>
          <w:tcPr>
            <w:tcW w:w="2269" w:type="dxa"/>
          </w:tcPr>
          <w:p w14:paraId="709F9A69" w14:textId="77777777" w:rsidR="00BB198D" w:rsidRPr="00B170EC" w:rsidRDefault="00BB198D" w:rsidP="00B170EC">
            <w:pPr>
              <w:pStyle w:val="stBilgi"/>
              <w:spacing w:line="360" w:lineRule="auto"/>
              <w:rPr>
                <w:rFonts w:ascii="Times New Roman" w:hAnsi="Times New Roman" w:cs="Times New Roman"/>
                <w:sz w:val="24"/>
                <w:szCs w:val="24"/>
              </w:rPr>
            </w:pPr>
            <w:r w:rsidRPr="00B170EC">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21D2BA0B" wp14:editId="2C380207">
                  <wp:simplePos x="0" y="0"/>
                  <wp:positionH relativeFrom="page">
                    <wp:posOffset>124167</wp:posOffset>
                  </wp:positionH>
                  <wp:positionV relativeFrom="paragraph">
                    <wp:posOffset>54463</wp:posOffset>
                  </wp:positionV>
                  <wp:extent cx="1135380" cy="1135380"/>
                  <wp:effectExtent l="0" t="0" r="7620" b="7620"/>
                  <wp:wrapThrough wrapText="bothSides">
                    <wp:wrapPolygon edited="0">
                      <wp:start x="8336" y="0"/>
                      <wp:lineTo x="6161" y="1087"/>
                      <wp:lineTo x="1087" y="5436"/>
                      <wp:lineTo x="0" y="11597"/>
                      <wp:lineTo x="0" y="12685"/>
                      <wp:lineTo x="2899" y="18121"/>
                      <wp:lineTo x="7611" y="20658"/>
                      <wp:lineTo x="8336" y="21383"/>
                      <wp:lineTo x="13047" y="21383"/>
                      <wp:lineTo x="13772" y="20658"/>
                      <wp:lineTo x="18483" y="18121"/>
                      <wp:lineTo x="21383" y="12685"/>
                      <wp:lineTo x="20658" y="5436"/>
                      <wp:lineTo x="15221" y="1087"/>
                      <wp:lineTo x="13047" y="0"/>
                      <wp:lineTo x="8336"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2" w:type="dxa"/>
          </w:tcPr>
          <w:p w14:paraId="35F39EEA" w14:textId="77777777" w:rsidR="00BB198D" w:rsidRPr="00B170EC" w:rsidRDefault="00BB198D" w:rsidP="00B170EC">
            <w:pPr>
              <w:spacing w:line="360" w:lineRule="auto"/>
              <w:jc w:val="center"/>
              <w:rPr>
                <w:rStyle w:val="Gl"/>
                <w:rFonts w:ascii="Times New Roman" w:hAnsi="Times New Roman" w:cs="Times New Roman"/>
                <w:color w:val="222222"/>
                <w:sz w:val="24"/>
                <w:szCs w:val="24"/>
                <w:u w:val="single"/>
                <w:shd w:val="clear" w:color="auto" w:fill="FFFFFF"/>
              </w:rPr>
            </w:pPr>
          </w:p>
          <w:p w14:paraId="40B0F034" w14:textId="77777777" w:rsidR="00552150" w:rsidRPr="00B170EC" w:rsidRDefault="00552150" w:rsidP="00B170EC">
            <w:pPr>
              <w:spacing w:line="360" w:lineRule="auto"/>
              <w:jc w:val="center"/>
              <w:rPr>
                <w:rStyle w:val="Gl"/>
                <w:rFonts w:ascii="Times New Roman" w:hAnsi="Times New Roman" w:cs="Times New Roman"/>
                <w:color w:val="222222"/>
                <w:sz w:val="24"/>
                <w:szCs w:val="24"/>
                <w:u w:val="single"/>
                <w:shd w:val="clear" w:color="auto" w:fill="FFFFFF"/>
              </w:rPr>
            </w:pPr>
          </w:p>
          <w:p w14:paraId="6A5E0B75" w14:textId="0472E294" w:rsidR="00BB198D" w:rsidRPr="00B170EC" w:rsidRDefault="00704158" w:rsidP="00B170EC">
            <w:pPr>
              <w:spacing w:line="360" w:lineRule="auto"/>
              <w:jc w:val="center"/>
              <w:rPr>
                <w:rFonts w:ascii="Times New Roman" w:hAnsi="Times New Roman" w:cs="Times New Roman"/>
                <w:sz w:val="24"/>
                <w:szCs w:val="24"/>
              </w:rPr>
            </w:pPr>
            <w:r>
              <w:rPr>
                <w:rStyle w:val="Gl"/>
                <w:rFonts w:ascii="Times New Roman" w:hAnsi="Times New Roman" w:cs="Times New Roman"/>
                <w:color w:val="222222"/>
                <w:sz w:val="24"/>
                <w:szCs w:val="24"/>
                <w:u w:val="single"/>
                <w:shd w:val="clear" w:color="auto" w:fill="FFFFFF"/>
              </w:rPr>
              <w:t>BORDRO PROGRAMI SİCİL KARTI OLUŞTURMA SÜRECİNDE YER ALAN DİN VE KAN GRUBU HANESİNE İLİŞKİN HUKUKİ DEĞERLENDİRME</w:t>
            </w:r>
            <w:r w:rsidR="00B715AE" w:rsidRPr="00B170EC">
              <w:rPr>
                <w:rStyle w:val="Gl"/>
                <w:rFonts w:ascii="Times New Roman" w:hAnsi="Times New Roman" w:cs="Times New Roman"/>
                <w:color w:val="222222"/>
                <w:sz w:val="24"/>
                <w:szCs w:val="24"/>
                <w:u w:val="single"/>
                <w:shd w:val="clear" w:color="auto" w:fill="FFFFFF"/>
              </w:rPr>
              <w:t xml:space="preserve"> </w:t>
            </w:r>
          </w:p>
        </w:tc>
      </w:tr>
    </w:tbl>
    <w:p w14:paraId="6765148B" w14:textId="77777777" w:rsidR="00BB198D" w:rsidRPr="00B170EC" w:rsidRDefault="00BB198D" w:rsidP="00B170EC">
      <w:pPr>
        <w:spacing w:line="360" w:lineRule="auto"/>
        <w:jc w:val="both"/>
        <w:rPr>
          <w:rStyle w:val="Gl"/>
          <w:rFonts w:ascii="Times New Roman" w:hAnsi="Times New Roman" w:cs="Times New Roman"/>
          <w:color w:val="222222"/>
          <w:sz w:val="24"/>
          <w:szCs w:val="24"/>
          <w:shd w:val="clear" w:color="auto" w:fill="FFFFFF"/>
        </w:rPr>
      </w:pPr>
    </w:p>
    <w:p w14:paraId="4755D119" w14:textId="0305A80C" w:rsidR="00552150" w:rsidRPr="00B170EC" w:rsidRDefault="00AF36BF" w:rsidP="00B170EC">
      <w:pPr>
        <w:spacing w:line="360" w:lineRule="auto"/>
        <w:jc w:val="both"/>
        <w:rPr>
          <w:rStyle w:val="Gl"/>
          <w:rFonts w:ascii="Times New Roman" w:hAnsi="Times New Roman" w:cs="Times New Roman"/>
          <w:b w:val="0"/>
          <w:bCs w:val="0"/>
          <w:sz w:val="24"/>
          <w:szCs w:val="24"/>
        </w:rPr>
      </w:pPr>
      <w:r w:rsidRPr="00B170EC">
        <w:rPr>
          <w:rStyle w:val="Gl"/>
          <w:rFonts w:ascii="Times New Roman" w:hAnsi="Times New Roman" w:cs="Times New Roman"/>
          <w:color w:val="222222"/>
          <w:sz w:val="24"/>
          <w:szCs w:val="24"/>
          <w:u w:val="single"/>
          <w:shd w:val="clear" w:color="auto" w:fill="FFFFFF"/>
        </w:rPr>
        <w:t>KONU:</w:t>
      </w:r>
      <w:r w:rsidRPr="00B170EC">
        <w:rPr>
          <w:rStyle w:val="Gl"/>
          <w:rFonts w:ascii="Times New Roman" w:hAnsi="Times New Roman" w:cs="Times New Roman"/>
          <w:b w:val="0"/>
          <w:color w:val="222222"/>
          <w:sz w:val="24"/>
          <w:szCs w:val="24"/>
          <w:shd w:val="clear" w:color="auto" w:fill="FFFFFF"/>
        </w:rPr>
        <w:t xml:space="preserve"> </w:t>
      </w:r>
      <w:r w:rsidR="00704158">
        <w:rPr>
          <w:rFonts w:ascii="Times New Roman" w:hAnsi="Times New Roman" w:cs="Times New Roman"/>
          <w:b/>
          <w:sz w:val="24"/>
          <w:szCs w:val="24"/>
        </w:rPr>
        <w:t xml:space="preserve">Bordro programı sicil kartı oluşturma sürecinde yer alan din ve kan grubu hanesi verileri </w:t>
      </w:r>
      <w:r w:rsidR="00026141" w:rsidRPr="00B170EC">
        <w:rPr>
          <w:rFonts w:ascii="Times New Roman" w:hAnsi="Times New Roman" w:cs="Times New Roman"/>
          <w:b/>
          <w:sz w:val="24"/>
          <w:szCs w:val="24"/>
        </w:rPr>
        <w:t>hk.</w:t>
      </w:r>
    </w:p>
    <w:p w14:paraId="34E6363F" w14:textId="492A76ED" w:rsidR="00163EDC" w:rsidRPr="00B170EC" w:rsidRDefault="00163EDC" w:rsidP="00B170EC">
      <w:pPr>
        <w:spacing w:line="360" w:lineRule="auto"/>
        <w:jc w:val="both"/>
        <w:rPr>
          <w:rStyle w:val="Gl"/>
          <w:rFonts w:ascii="Times New Roman" w:hAnsi="Times New Roman" w:cs="Times New Roman"/>
          <w:color w:val="222222"/>
          <w:sz w:val="24"/>
          <w:szCs w:val="24"/>
          <w:u w:val="single"/>
          <w:shd w:val="clear" w:color="auto" w:fill="FFFFFF"/>
        </w:rPr>
      </w:pPr>
      <w:r w:rsidRPr="00B170EC">
        <w:rPr>
          <w:rStyle w:val="Gl"/>
          <w:rFonts w:ascii="Times New Roman" w:hAnsi="Times New Roman" w:cs="Times New Roman"/>
          <w:color w:val="222222"/>
          <w:sz w:val="24"/>
          <w:szCs w:val="24"/>
          <w:u w:val="single"/>
          <w:shd w:val="clear" w:color="auto" w:fill="FFFFFF"/>
        </w:rPr>
        <w:t xml:space="preserve">AÇIKLAMALAR </w:t>
      </w:r>
    </w:p>
    <w:p w14:paraId="4357403C" w14:textId="77777777" w:rsidR="00704158" w:rsidRPr="00704158" w:rsidRDefault="00704158" w:rsidP="00704158">
      <w:pPr>
        <w:spacing w:line="360" w:lineRule="auto"/>
        <w:ind w:firstLine="708"/>
        <w:jc w:val="both"/>
        <w:rPr>
          <w:rFonts w:ascii="Times New Roman" w:hAnsi="Times New Roman" w:cs="Times New Roman"/>
          <w:sz w:val="24"/>
          <w:szCs w:val="24"/>
        </w:rPr>
      </w:pPr>
      <w:r w:rsidRPr="00704158">
        <w:rPr>
          <w:rFonts w:ascii="Times New Roman" w:hAnsi="Times New Roman" w:cs="Times New Roman"/>
          <w:sz w:val="24"/>
          <w:szCs w:val="24"/>
        </w:rPr>
        <w:t>Ülkemizde 7 Nisan 2016 tarihinde 6698 sayılı Kişisel Verilerin Korunması Kanunu’nun yürürlüğe girmesi ile kimliği belirli veya belirlenebilir gerçek kişiye ait her türlü bilgi olarak tanımlanan kişisel verilere yönelik hassasiyet artmış ve bu değerin titizlikle korunması için ulusal çalışmalar başlatılmıştır. Bu çalışmaların en önemli amacı, hiç kuşkusuz kişisel verilerin korunması kapsamında yeni yasal düzenlemeler doğrultusunda uyum projeleri yürütmek; böylelikle hem kurum çalışanlarında farkındalığı artırmak hem de mevzuatın öngördüğü zorunlu uygulamaları hayata geçirmektir. Kişisel verilerin korunması konusunda hassas ve duyarlı bir süreç takip eden Çankaya Üniversitesi 6698 sayılı Kişisel Verilerin Korunması Kanunu’nun ve Avrupa Birliği Veri Koruma Tüzüğü’nün (General Data Protection Regulation- GDPR) öngördüğü temel prensipleri benimseyerek ve kendisine rehber edinerek 6698 sayılı Kişisel Verilerin Korunması Kanunu’na Uyum Projesi başlatmıştır.</w:t>
      </w:r>
    </w:p>
    <w:p w14:paraId="05480475" w14:textId="77777777" w:rsidR="00704158" w:rsidRPr="00704158" w:rsidRDefault="00704158" w:rsidP="00704158">
      <w:pPr>
        <w:spacing w:line="360" w:lineRule="auto"/>
        <w:ind w:firstLine="708"/>
        <w:jc w:val="both"/>
        <w:rPr>
          <w:rFonts w:ascii="Times New Roman" w:hAnsi="Times New Roman" w:cs="Times New Roman"/>
          <w:sz w:val="24"/>
          <w:szCs w:val="24"/>
        </w:rPr>
      </w:pPr>
      <w:r w:rsidRPr="00704158">
        <w:rPr>
          <w:rFonts w:ascii="Times New Roman" w:hAnsi="Times New Roman" w:cs="Times New Roman"/>
          <w:sz w:val="24"/>
          <w:szCs w:val="24"/>
        </w:rPr>
        <w:t>Yukarıda bahsi geçen uyum projesi kapsamında, yetkililerle ile yapılan görüşmeler, hazırlanan kişisel veri envanterleri ve fiziki-dijital incelemeler sonucu belirlenen hususlara ilişkin hukuki değerlendirme ve tavsiyede bulunulacaktır. Buna göre;</w:t>
      </w:r>
    </w:p>
    <w:p w14:paraId="36DFBAFF" w14:textId="23C41B37" w:rsidR="00704158" w:rsidRDefault="00704158" w:rsidP="00704158">
      <w:pPr>
        <w:spacing w:line="360" w:lineRule="auto"/>
        <w:ind w:firstLine="708"/>
        <w:jc w:val="both"/>
        <w:rPr>
          <w:rFonts w:ascii="Times New Roman" w:hAnsi="Times New Roman" w:cs="Times New Roman"/>
          <w:sz w:val="24"/>
          <w:szCs w:val="24"/>
        </w:rPr>
      </w:pPr>
      <w:r w:rsidRPr="00704158">
        <w:rPr>
          <w:rFonts w:ascii="Times New Roman" w:hAnsi="Times New Roman" w:cs="Times New Roman"/>
          <w:sz w:val="24"/>
          <w:szCs w:val="24"/>
        </w:rPr>
        <w:t xml:space="preserve">KVKK uyarınca kişisel veri, belirli ya da belirlenebilir nitelikteki bir kişiye ilişkin her türlü bilgidir. Bu tanıma göre kişisel verinin üç unsuru bulunmaktadır. Buna göre, ilk olarak bir verinin varlığı aranmaktadır. İkinci unsur olarak bu verinin bir gerçek kişiye ilişkin olması gerekmektedir. Üçüncü unsur olarak ise bu kişinin de belirli ya da belirlenebilir nitelikte olması gerekmektedir.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 </w:t>
      </w:r>
    </w:p>
    <w:p w14:paraId="40158ED8" w14:textId="77777777" w:rsidR="00704158" w:rsidRPr="00704158" w:rsidRDefault="00704158" w:rsidP="00704158">
      <w:pPr>
        <w:spacing w:line="360" w:lineRule="auto"/>
        <w:ind w:firstLine="708"/>
        <w:jc w:val="both"/>
        <w:rPr>
          <w:rFonts w:ascii="Times New Roman" w:hAnsi="Times New Roman" w:cs="Times New Roman"/>
          <w:sz w:val="24"/>
          <w:szCs w:val="24"/>
        </w:rPr>
      </w:pPr>
      <w:r w:rsidRPr="00704158">
        <w:rPr>
          <w:rFonts w:ascii="Times New Roman" w:hAnsi="Times New Roman" w:cs="Times New Roman"/>
          <w:sz w:val="24"/>
          <w:szCs w:val="24"/>
        </w:rPr>
        <w:lastRenderedPageBreak/>
        <w:t>Kişisel verilerin işlenmesi, KVKK’nın 4., 5. ve 6. Maddelerinde düzenlenmiştir. Bu maddelere göre kişisel verileri işleme faaliyetlerinin belirli birtakım ilkeler gözetilerek gerçekleştirilmesi ve her faaliyetin kanunda belirtilen şartlardan bir ya da birkaçı kapsamında gerçekleştirilmesi gerekmektedir. Kişisel verilerin işlenme sebebi ne olursa olsun, işleme faaliyeti kapsamında Kanun’un 4. maddesinde öngörülen temel ilkelere uyulması gerekmektedir. Öngörülen temel ilkeler aşağıda belirtildiği gibidir:</w:t>
      </w:r>
    </w:p>
    <w:p w14:paraId="1615D5E1" w14:textId="77777777" w:rsidR="00704158" w:rsidRPr="00704158" w:rsidRDefault="00704158" w:rsidP="00704158">
      <w:pPr>
        <w:spacing w:line="360" w:lineRule="auto"/>
        <w:jc w:val="both"/>
        <w:rPr>
          <w:rFonts w:ascii="Times New Roman" w:hAnsi="Times New Roman" w:cs="Times New Roman"/>
          <w:sz w:val="24"/>
          <w:szCs w:val="24"/>
        </w:rPr>
      </w:pPr>
      <w:r w:rsidRPr="00704158">
        <w:rPr>
          <w:rFonts w:ascii="Times New Roman" w:hAnsi="Times New Roman" w:cs="Times New Roman"/>
          <w:sz w:val="24"/>
          <w:szCs w:val="24"/>
        </w:rPr>
        <w:t>a) Hukuka ve dürüstlük kurallarına uygun olma</w:t>
      </w:r>
    </w:p>
    <w:p w14:paraId="5EBAD14F" w14:textId="77777777" w:rsidR="00704158" w:rsidRPr="00704158" w:rsidRDefault="00704158" w:rsidP="00704158">
      <w:pPr>
        <w:spacing w:line="360" w:lineRule="auto"/>
        <w:jc w:val="both"/>
        <w:rPr>
          <w:rFonts w:ascii="Times New Roman" w:hAnsi="Times New Roman" w:cs="Times New Roman"/>
          <w:sz w:val="24"/>
          <w:szCs w:val="24"/>
        </w:rPr>
      </w:pPr>
      <w:r w:rsidRPr="00704158">
        <w:rPr>
          <w:rFonts w:ascii="Times New Roman" w:hAnsi="Times New Roman" w:cs="Times New Roman"/>
          <w:sz w:val="24"/>
          <w:szCs w:val="24"/>
        </w:rPr>
        <w:t>b) Doğru ve gerektiğinde güncel olma</w:t>
      </w:r>
    </w:p>
    <w:p w14:paraId="3FFCA2DC" w14:textId="77777777" w:rsidR="00704158" w:rsidRPr="00704158" w:rsidRDefault="00704158" w:rsidP="00704158">
      <w:pPr>
        <w:spacing w:line="360" w:lineRule="auto"/>
        <w:jc w:val="both"/>
        <w:rPr>
          <w:rFonts w:ascii="Times New Roman" w:hAnsi="Times New Roman" w:cs="Times New Roman"/>
          <w:sz w:val="24"/>
          <w:szCs w:val="24"/>
        </w:rPr>
      </w:pPr>
      <w:r w:rsidRPr="00704158">
        <w:rPr>
          <w:rFonts w:ascii="Times New Roman" w:hAnsi="Times New Roman" w:cs="Times New Roman"/>
          <w:sz w:val="24"/>
          <w:szCs w:val="24"/>
        </w:rPr>
        <w:t>c) Belirli, açık ve meşru amaçlar için işlenme</w:t>
      </w:r>
    </w:p>
    <w:p w14:paraId="5A009F9F" w14:textId="77777777" w:rsidR="00704158" w:rsidRPr="00704158" w:rsidRDefault="00704158" w:rsidP="00704158">
      <w:pPr>
        <w:spacing w:line="360" w:lineRule="auto"/>
        <w:jc w:val="both"/>
        <w:rPr>
          <w:rFonts w:ascii="Times New Roman" w:hAnsi="Times New Roman" w:cs="Times New Roman"/>
          <w:sz w:val="24"/>
          <w:szCs w:val="24"/>
        </w:rPr>
      </w:pPr>
      <w:r w:rsidRPr="00704158">
        <w:rPr>
          <w:rFonts w:ascii="Times New Roman" w:hAnsi="Times New Roman" w:cs="Times New Roman"/>
          <w:sz w:val="24"/>
          <w:szCs w:val="24"/>
        </w:rPr>
        <w:t>d) İşlendikleri amaçla bağlantılı, sınırlı ve ölçülü olma</w:t>
      </w:r>
    </w:p>
    <w:p w14:paraId="64F87E76" w14:textId="77777777" w:rsidR="00704158" w:rsidRPr="00704158" w:rsidRDefault="00704158" w:rsidP="00704158">
      <w:pPr>
        <w:spacing w:line="360" w:lineRule="auto"/>
        <w:jc w:val="both"/>
        <w:rPr>
          <w:rFonts w:ascii="Times New Roman" w:hAnsi="Times New Roman" w:cs="Times New Roman"/>
          <w:sz w:val="24"/>
          <w:szCs w:val="24"/>
        </w:rPr>
      </w:pPr>
      <w:r w:rsidRPr="00704158">
        <w:rPr>
          <w:rFonts w:ascii="Times New Roman" w:hAnsi="Times New Roman" w:cs="Times New Roman"/>
          <w:sz w:val="24"/>
          <w:szCs w:val="24"/>
        </w:rPr>
        <w:t>e) İlgili mevzuatta öngörülen veya işlendikleri amaç için gerekli olan süre kadar muhafaza edilme</w:t>
      </w:r>
    </w:p>
    <w:p w14:paraId="052CCD44" w14:textId="4A7A794E" w:rsidR="00704158" w:rsidRPr="00704158" w:rsidRDefault="00704158" w:rsidP="0070415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Başkanlığın bordro programı sicil kartı oluşturma sürecinde yer alan </w:t>
      </w:r>
      <w:r w:rsidRPr="00704158">
        <w:rPr>
          <w:rFonts w:ascii="Times New Roman" w:hAnsi="Times New Roman" w:cs="Times New Roman"/>
          <w:b/>
          <w:bCs/>
          <w:sz w:val="24"/>
          <w:szCs w:val="24"/>
        </w:rPr>
        <w:t>din ve kan grubu hanesine ilişkin verileri Kanunun 6 ncı maddesinde yer alan özel nitelikli kişisel verilerdir.</w:t>
      </w:r>
      <w:r>
        <w:rPr>
          <w:rFonts w:ascii="Times New Roman" w:hAnsi="Times New Roman" w:cs="Times New Roman"/>
          <w:sz w:val="24"/>
          <w:szCs w:val="24"/>
        </w:rPr>
        <w:t xml:space="preserve"> Söz konusu veri işleme faaliyetinde bu verilerin genel ilkeler kapsamında </w:t>
      </w:r>
      <w:r w:rsidRPr="00704158">
        <w:rPr>
          <w:rFonts w:ascii="Times New Roman" w:hAnsi="Times New Roman" w:cs="Times New Roman"/>
          <w:i/>
          <w:iCs/>
          <w:sz w:val="24"/>
          <w:szCs w:val="24"/>
        </w:rPr>
        <w:t>“</w:t>
      </w:r>
      <w:r>
        <w:rPr>
          <w:rFonts w:ascii="Times New Roman" w:hAnsi="Times New Roman" w:cs="Times New Roman"/>
          <w:i/>
          <w:iCs/>
          <w:sz w:val="24"/>
          <w:szCs w:val="24"/>
        </w:rPr>
        <w:t>i</w:t>
      </w:r>
      <w:r w:rsidRPr="00704158">
        <w:rPr>
          <w:rFonts w:ascii="Times New Roman" w:hAnsi="Times New Roman" w:cs="Times New Roman"/>
          <w:i/>
          <w:iCs/>
          <w:sz w:val="24"/>
          <w:szCs w:val="24"/>
        </w:rPr>
        <w:t>şlendikleri amaçla bağlantılı”</w:t>
      </w:r>
      <w:r>
        <w:rPr>
          <w:rFonts w:ascii="Times New Roman" w:hAnsi="Times New Roman" w:cs="Times New Roman"/>
          <w:i/>
          <w:iCs/>
          <w:sz w:val="24"/>
          <w:szCs w:val="24"/>
        </w:rPr>
        <w:t xml:space="preserve"> </w:t>
      </w:r>
      <w:r w:rsidRPr="00704158">
        <w:rPr>
          <w:rFonts w:ascii="Times New Roman" w:hAnsi="Times New Roman" w:cs="Times New Roman"/>
          <w:sz w:val="24"/>
          <w:szCs w:val="24"/>
        </w:rPr>
        <w:t>olmadığı açıktır.</w:t>
      </w:r>
      <w:r>
        <w:rPr>
          <w:rFonts w:ascii="Times New Roman" w:hAnsi="Times New Roman" w:cs="Times New Roman"/>
          <w:i/>
          <w:iCs/>
          <w:sz w:val="24"/>
          <w:szCs w:val="24"/>
        </w:rPr>
        <w:t xml:space="preserve"> </w:t>
      </w:r>
      <w:r>
        <w:rPr>
          <w:rFonts w:ascii="Times New Roman" w:hAnsi="Times New Roman" w:cs="Times New Roman"/>
          <w:sz w:val="24"/>
          <w:szCs w:val="24"/>
        </w:rPr>
        <w:t xml:space="preserve">Söz konusu süreçte bu verilerin çıkartılarak işlemlerin yürütülebilirliği sağlanmalı, hassas verilerin edinilmesi engellenmeli ve bu süreçten öncesinde edinilen veriler özellikle Kanunun yürürlüğe girdiği 2016 tarihine kadar usulünce imha edilmelidir. Bu kapsamda çalışmaların başkanlık bünyesinde yapılmasını tavsiye etmekteyiz. </w:t>
      </w:r>
    </w:p>
    <w:p w14:paraId="6389607A" w14:textId="77777777" w:rsidR="00026141" w:rsidRPr="00B170EC" w:rsidRDefault="00026141" w:rsidP="00B170EC">
      <w:pPr>
        <w:spacing w:line="360" w:lineRule="auto"/>
        <w:jc w:val="both"/>
        <w:rPr>
          <w:rStyle w:val="Gl"/>
          <w:rFonts w:ascii="Times New Roman" w:hAnsi="Times New Roman" w:cs="Times New Roman"/>
          <w:color w:val="222222"/>
          <w:sz w:val="24"/>
          <w:szCs w:val="24"/>
          <w:u w:val="single"/>
          <w:shd w:val="clear" w:color="auto" w:fill="FFFFFF"/>
        </w:rPr>
      </w:pPr>
    </w:p>
    <w:sectPr w:rsidR="00026141" w:rsidRPr="00B170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CFB6" w14:textId="77777777" w:rsidR="000C3092" w:rsidRDefault="000C3092" w:rsidP="00BB198D">
      <w:pPr>
        <w:spacing w:after="0" w:line="240" w:lineRule="auto"/>
      </w:pPr>
      <w:r>
        <w:separator/>
      </w:r>
    </w:p>
  </w:endnote>
  <w:endnote w:type="continuationSeparator" w:id="0">
    <w:p w14:paraId="7AB92E68" w14:textId="77777777" w:rsidR="000C3092" w:rsidRDefault="000C3092" w:rsidP="00BB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A30C" w14:textId="77777777" w:rsidR="00B715AE" w:rsidRDefault="00B715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7FFA" w14:textId="77777777" w:rsidR="00B715AE" w:rsidRDefault="00B715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9FDB" w14:textId="77777777" w:rsidR="00B715AE" w:rsidRDefault="00B715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0E24" w14:textId="77777777" w:rsidR="000C3092" w:rsidRDefault="000C3092" w:rsidP="00BB198D">
      <w:pPr>
        <w:spacing w:after="0" w:line="240" w:lineRule="auto"/>
      </w:pPr>
      <w:r>
        <w:separator/>
      </w:r>
    </w:p>
  </w:footnote>
  <w:footnote w:type="continuationSeparator" w:id="0">
    <w:p w14:paraId="2B06C1FB" w14:textId="77777777" w:rsidR="000C3092" w:rsidRDefault="000C3092" w:rsidP="00BB1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6EC" w14:textId="2F8F1310" w:rsidR="00B715AE" w:rsidRDefault="000C3092">
    <w:pPr>
      <w:pStyle w:val="stBilgi"/>
    </w:pPr>
    <w:r>
      <w:rPr>
        <w:noProof/>
        <w:lang w:eastAsia="tr-TR"/>
      </w:rPr>
      <w:pict w14:anchorId="1EDB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79"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609D" w14:textId="58CCB1BF" w:rsidR="00B715AE" w:rsidRDefault="000C3092">
    <w:pPr>
      <w:pStyle w:val="stBilgi"/>
    </w:pPr>
    <w:r>
      <w:rPr>
        <w:noProof/>
        <w:lang w:eastAsia="tr-TR"/>
      </w:rPr>
      <w:pict w14:anchorId="3FCBE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80"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8461" w14:textId="33D2712C" w:rsidR="00B715AE" w:rsidRDefault="000C3092">
    <w:pPr>
      <w:pStyle w:val="stBilgi"/>
    </w:pPr>
    <w:r>
      <w:rPr>
        <w:noProof/>
        <w:lang w:eastAsia="tr-TR"/>
      </w:rPr>
      <w:pict w14:anchorId="2B4C7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8078"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284"/>
    <w:multiLevelType w:val="multilevel"/>
    <w:tmpl w:val="6B8C6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F311B"/>
    <w:multiLevelType w:val="multilevel"/>
    <w:tmpl w:val="50A673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1DCA"/>
    <w:multiLevelType w:val="hybridMultilevel"/>
    <w:tmpl w:val="FA706408"/>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9D"/>
    <w:rsid w:val="000028BA"/>
    <w:rsid w:val="00003FB8"/>
    <w:rsid w:val="00026141"/>
    <w:rsid w:val="00041F35"/>
    <w:rsid w:val="000831F2"/>
    <w:rsid w:val="000C3092"/>
    <w:rsid w:val="000E3986"/>
    <w:rsid w:val="000F4186"/>
    <w:rsid w:val="00163EDC"/>
    <w:rsid w:val="001B311B"/>
    <w:rsid w:val="002D653E"/>
    <w:rsid w:val="00302D6E"/>
    <w:rsid w:val="003347D1"/>
    <w:rsid w:val="00352356"/>
    <w:rsid w:val="0042319D"/>
    <w:rsid w:val="00467AE0"/>
    <w:rsid w:val="004F0824"/>
    <w:rsid w:val="00552150"/>
    <w:rsid w:val="005819D9"/>
    <w:rsid w:val="006D6E6A"/>
    <w:rsid w:val="006F434A"/>
    <w:rsid w:val="00704158"/>
    <w:rsid w:val="007E7C19"/>
    <w:rsid w:val="00810AE7"/>
    <w:rsid w:val="00822AB7"/>
    <w:rsid w:val="00930609"/>
    <w:rsid w:val="009C0F9F"/>
    <w:rsid w:val="009D1323"/>
    <w:rsid w:val="00AF36BF"/>
    <w:rsid w:val="00B170EC"/>
    <w:rsid w:val="00B715AE"/>
    <w:rsid w:val="00B95C01"/>
    <w:rsid w:val="00BB198D"/>
    <w:rsid w:val="00C8151B"/>
    <w:rsid w:val="00CC506A"/>
    <w:rsid w:val="00E15F4F"/>
    <w:rsid w:val="00E17A63"/>
    <w:rsid w:val="00E77B51"/>
    <w:rsid w:val="00F0621D"/>
    <w:rsid w:val="00F96A33"/>
    <w:rsid w:val="00FC7753"/>
    <w:rsid w:val="00FD6A40"/>
    <w:rsid w:val="00FE2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7E945"/>
  <w15:chartTrackingRefBased/>
  <w15:docId w15:val="{73EABDE3-71BD-4BA8-9C01-19981856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F36BF"/>
    <w:rPr>
      <w:b/>
      <w:bCs/>
    </w:rPr>
  </w:style>
  <w:style w:type="paragraph" w:styleId="NormalWeb">
    <w:name w:val="Normal (Web)"/>
    <w:basedOn w:val="Normal"/>
    <w:uiPriority w:val="99"/>
    <w:unhideWhenUsed/>
    <w:rsid w:val="00AF36BF"/>
    <w:pPr>
      <w:spacing w:before="100" w:beforeAutospacing="1" w:after="100" w:afterAutospacing="1" w:line="240" w:lineRule="auto"/>
    </w:pPr>
    <w:rPr>
      <w:rFonts w:ascii="Calibri" w:eastAsiaTheme="minorEastAsia" w:hAnsi="Calibri" w:cs="Calibri"/>
      <w:lang w:eastAsia="tr-TR"/>
    </w:rPr>
  </w:style>
  <w:style w:type="table" w:styleId="TabloKlavuzu">
    <w:name w:val="Table Grid"/>
    <w:basedOn w:val="NormalTablo"/>
    <w:uiPriority w:val="39"/>
    <w:rsid w:val="00BB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19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198D"/>
  </w:style>
  <w:style w:type="paragraph" w:styleId="AltBilgi">
    <w:name w:val="footer"/>
    <w:basedOn w:val="Normal"/>
    <w:link w:val="AltBilgiChar"/>
    <w:uiPriority w:val="99"/>
    <w:unhideWhenUsed/>
    <w:rsid w:val="00BB19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198D"/>
  </w:style>
  <w:style w:type="paragraph" w:styleId="ListeParagraf">
    <w:name w:val="List Paragraph"/>
    <w:basedOn w:val="Normal"/>
    <w:uiPriority w:val="34"/>
    <w:qFormat/>
    <w:rsid w:val="0002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2577">
      <w:bodyDiv w:val="1"/>
      <w:marLeft w:val="0"/>
      <w:marRight w:val="0"/>
      <w:marTop w:val="0"/>
      <w:marBottom w:val="0"/>
      <w:divBdr>
        <w:top w:val="none" w:sz="0" w:space="0" w:color="auto"/>
        <w:left w:val="none" w:sz="0" w:space="0" w:color="auto"/>
        <w:bottom w:val="none" w:sz="0" w:space="0" w:color="auto"/>
        <w:right w:val="none" w:sz="0" w:space="0" w:color="auto"/>
      </w:divBdr>
    </w:div>
    <w:div w:id="9974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559</Words>
  <Characters>3188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 cnm</dc:creator>
  <cp:keywords/>
  <dc:description/>
  <cp:lastModifiedBy>Ayşenur ÖZDEMİR</cp:lastModifiedBy>
  <cp:revision>26</cp:revision>
  <dcterms:created xsi:type="dcterms:W3CDTF">2021-01-13T07:38:00Z</dcterms:created>
  <dcterms:modified xsi:type="dcterms:W3CDTF">2021-10-05T14:39:00Z</dcterms:modified>
</cp:coreProperties>
</file>